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for de-risking decisions: risk-based justification, senior management sign-off, financial inclusion consideration, STR filing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MADISON LLC Establish approval requirements for de-risking decisions: risk-based justification, senior management sign-off, financial inclusion consideration, STR filing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