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 banking and cross-border relationships: jurisdiction risk, counterparty DD, nested relationship prohibition, Wolfsberg ACSS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ZOE FZESenior management approval for correspondent banking and cross-border relationships: jurisdiction risk, counterparty DD, nested relationship prohibition, Wolfsberg ACSS assessment.Regulatory Basis: UAE FDL No.(10) of 2025 Art. 18; Cabinet Resolution 134/2025 Art. 14; FATF Rec. 13; Wolfsberg ACSSPriority: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