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1213962483978963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HSV2-TPK-2026-04-06-UNASSIGNED-MA-10_Correspondent_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1213962483978963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MA-10 | Correspondent Relationship Approval Framework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1213962483978963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https://app.asana.com/1/1213645083721316/project/1213908611350810/task/1213962483978963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Senior management approval for correspondent banking and cross-border relationships: jurisdiction risk, counterparty DD, nested relationship prohibition, Wolfsberg ACSS assessment.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18; Cabinet Resolution 134/2025 Art. 14; FATF Rec. 13; Wolfsberg ACSS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MA-10 | Correspondent Relationship Approval Framework - ENTITY: MADISON LLC Senior management approval for correspondent banking and cross-border relationships: jurisdiction risk, counterparty DD, nested relationship prohibition, Wolfsberg ACSS assessment. Regulatory Basis: UAE FDL No.(10) of 2025 Art. 18; Cabinet Resolution 134/2025 Art. 14; FATF Rec. 13; Wolfsberg ACSS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