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 banking and cross-border relationships: jurisdiction risk, counterparty DD, nested relationship prohibition, Wolfsberg ACSS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GRAMALTIN AS Senior management approval for correspondent banking and cross-border relationships: jurisdiction risk, counterparty DD, nested relationship prohibition, Wolfsberg ACSS assessment. Regulatory Basis: UAE FDL No.(10) of 2025 Art. 18; Cabinet Resolution 134/2025 Art. 14; FATF Rec. 13; Wolfsberg ACSS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