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HSV2-TPK-2026-04-06-UNASSIGNED-NRA-RF01_NRA_High_Ca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NRA-RF01 | NRA: High Cash Intensity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 rated Medium-High. Red flags: cash at/near AED 55,000, multiple daily cash transactions, no SoF for cash, resistance to bank payment, foreign currency cash, walk-in high-value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15-16; Cabinet Resolution 134/2025 Art. 17; MOE Circular 08/2021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NRA-RF01 | NRA: High Cash Intensity Patterns - ENTITY: MADISON LLC DPMS rated Medium-High. Red flags: cash at/near AED 55,000, multiple daily cash transactions, no SoF for cash, resistance to bank payment, foreign currency cash, walk-in high-value cash. Regulatory Basis: UAE NRA 2024; UAE FDL No.(10) of 2025 Art. 15-16; Cabinet Resolution 134/2025 Art. 17; MOE Circular 08/2021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