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1213959825297475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HSV2-TPK-2026-04-06-UNASSIGNED-NRA-RF01_NRA_High_Ca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1213959825297475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NRA-RF01 | NRA: High Cash Intensity Patterns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1213959825297475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https://app.asana.com/1/1213645083721316/project/1213908827982041/task/1213959825297475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 rated Medium-High. Red flags: cash at/near AED 55,000, multiple daily cash transactions, no SoF for cash, resistance to bank payment, foreign currency cash, walk-in high-value cash.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15-16; Cabinet Resolution 134/2025 Art. 17; MOE Circular 08/2021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LLCDPMS rated Medium-High. Red flags: cash at/near AED 55,000, multiple daily cash transactions, no SoF for cash, resistance to bank payment, foreign currency cash, walk-in high-value cash.Regulatory Basis: UAE NRA 2024; UAE FDL No.(10) of 2025 Art. 15-16; Cabinet Resolution 134/2025 Art. 17; MOE Circular 08/2021Priority: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