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1213962483763634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HSV2-TPK-2026-04-06-UNASSIGNED-NRA-RF01_NRA_High_Ca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1213962483763634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NRA-RF01 | NRA: High Cash Intensity Patterns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1213962483763634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FG LLC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https://app.asana.com/1/1213645083721316/project/1213909833048586/task/1213962483763634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FG LLC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Section: UAE NRA 2024 - DPMS SECTOR RED FLAGS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 rated Medium-High. Red flags: cash at/near AED 55,000, multiple daily cash transactions, no SoF for cash, resistance to bank payment, foreign currency cash, walk-in high-value cash.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NRA 2024; UAE FDL No.(10) of 2025 Art. 15-16; Cabinet Resolution 134/2025 Art. 17; MOE Circular 08/2021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Critical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NRA-RF01 | NRA: High Cash Intensity Patterns - ENTITY: FG LLC DPMS rated Medium-High. Red flags: cash at/near AED 55,000, multiple daily cash transactions, no SoF for cash, resistance to bank payment, foreign currency cash, walk-in high-value cash. Regulatory Basis: UAE NRA 2024; UAE FDL No.(10) of 2025 Art. 15-16; Cabinet Resolution 134/2025 Art. 17; MOE Circular 08/2021 Priority: Critical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FG_LLC_BATCH_4_of_4.csv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cash.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