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HSV2-TPK-2026-04-06-UNASSIGNED-NRA-RF01_NRA_High_Ca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1213962484464534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NRA-RF01 | NRA: High Cash Intensity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https://app.asana.com/1/1213645083721316/project/1213908828069020/task/1213962484464534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 rated Medium-High. Red flags: cash at/near AED 55,000, multiple daily cash transactions, no SoF for cash, resistance to bank payment, foreign currency cash, walk-in high-value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15-16; Cabinet Resolution 134/2025 Art. 17; MOE Circular 08/2021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NRA-RF01 | NRA: High Cash Intensity Patterns - ENTITY: ZOE FZE DPMS rated Medium-High. Red flags: cash at/near AED 55,000, multiple daily cash transactions, no SoF for cash, resistance to bank payment, foreign currency cash, walk-in high-value cash. Regulatory Basis: UAE NRA 2024; UAE FDL No.(10) of 2025 Art. 15-16; Cabinet Resolution 134/2025 Art. 17; MOE Circular 08/2021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