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HSV2-TPK-2026-04-06-UNASSIGNED-NRA-RF01_NRA_High_Ca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1213964638768798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NRA-RF01 | NRA: High Cash Intensity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https://app.asana.com/1/1213645083721316/project/1213908508433868/task/1213964638768798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 rated Medium-High. Red flags: cash at/near AED 55,000, multiple daily cash transactions, no SoF for cash, resistance to bank payment, foreign currency cash, walk-in high-value cash.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15-16; Cabinet Resolution 134/2025 Art. 17; MOE Circular 08/2021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BRANCHDPMS rated Medium-High. Red flags: cash at/near AED 55,000, multiple daily cash transactions, no SoF for cash, resistance to bank payment, foreign currency cash, walk-in high-value cash.Regulatory Basis: UAE NRA 2024; UAE FDL No.(10) of 2025 Art. 15-16; Cabinet Resolution 134/2025 Art. 17; MOE Circular 08/2021Priority: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