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DPMS rated Medium-High. Red flags: cash at/near AED 55,000, multiple daily cash transactions, no SoF for cash, resistance to bank payment, foreign currency cash, walk-in high-value cash. Regulatory Basis: UAE NRA 2024; UAE FDL No.(10) of 2025 Art. 15-16; Cabinet Resolution 134/2025 Art. 17; MOE Circular 08/2021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