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NRA-RF02 | NRA: Cross-Border Trade Exploitation - ENTITY: MADISON LLC Cross-border vulnerability: FATF list counterparties, multi-transit routing, FTZ USD settlements, price inconsistency, weak-supervision jurisdictions, structured cross-border transactions. Regulatory Basis: UAE NRA 2024; UAE FDL No.(10) of 2025 Art. 15; FATF Rec. 19; Cabinet Resolution 134/2025 Art. 12, 17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