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HSV2-TPK-2026-04-06-UNASSIGNED-NRA-RF02_NRA_Cross-B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NRA-RF02 | NRA: Cross-Border Trade Exploitation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Cross-border vulnerability: FATF list counterparties, multi-transit routing, FTZ USD settlements, price inconsistency, weak-supervision jurisdictions, structured cross-border transactions.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15; FATF Rec. 19; Cabinet Resolution 134/2025 Art. 12,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LLCCross-border vulnerability: FATF list counterparties, multi-transit routing, FTZ USD settlements, price inconsistency, weak-supervision jurisdictions, structured cross-border transactions.Regulatory Basis: UAE NRA 2024; UAE FDL No.(10) of 2025 Art. 15; FATF Rec. 19; Cabinet Resolution 134/2025 Art. 12, 17Priority: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