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Cross-border vulnerability: FATF list counterparties, multi-transit routing, FTZ USD settlements, price inconsistency, weak-supervision jurisdictions, structured cross-border transactions. Regulatory Basis: UAE NRA 2024; UAE FDL No.(10) of 2025 Art. 15; FATF Rec. 19; Cabinet Resolution 134/2025 Art. 12, 17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