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HSV2-TPK-2026-04-06-UNASSIGNED-NRA-RF03_NRA_Weak_Re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1213959825119965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NRA-RF03 | NRA: Weak Responsible Sourcing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1213959825119965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https://app.asana.com/1/1213645083721316/project/1213908611350810/task/1213959825119965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NRA 2024 - DPMS SECTOR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Weak sourcing: no CoO documentation, CAHRA without EDD, no MD 68/2024 policy, not on Good Delivery list, no mine-of-origin verification, recycled without facility documentation.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NRA 2024; Ministerial Decree 68/2024; LBMA RGG v9; OECD DDG;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NRA-RF03 | NRA: Weak Responsible Sourcing - ENTITY: MADISON LLC Weak sourcing: no CoO documentation, CAHRA without EDD, no MD 68/2024 policy, not on Good Delivery list, no mine-of-origin verification, recycled without facility documentation. Regulatory Basis: UAE NRA 2024; Ministerial Decree 68/2024; LBMA RGG v9; OECD DDG; UAE FDL No.(10) of 2025 Art. 16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