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HSV2-TPK-2026-04-06-UNASSIGNED-NRA-RF03_NRA_Weak_Re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NRA-RF03 | NRA: Weak Responsible Sourcing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Weak sourcing: no CoO documentation, CAHRA without EDD, no MD 68/2024 policy, not on Good Delivery list, no mine-of-origin verification, recycled without facility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Ministerial Decree 68/2024; LBMA RGG v9; OECD DDG;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LLCWeak sourcing: no CoO documentation, CAHRA without EDD, no MD 68/2024 policy, not on Good Delivery list, no mine-of-origin verification, recycled without facility documentation.Regulatory Basis: UAE NRA 2024; Ministerial Decree 68/2024; LBMA RGG v9; OECD DDG; UAE FDL No.(10) of 2025 Art. 16Priority: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