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HSV2-TPK-2026-04-06-UNASSIGNED-NRA-RF03_NRA_Weak_Re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NRA-RF03 | NRA: Weak Responsible Sourcing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Weak sourcing: no CoO documentation, CAHRA without EDD, no MD 68/2024 policy, not on Good Delivery list, no mine-of-origin verification, recycled without facility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Ministerial Decree 68/2024; LBMA RGG v9; OECD DDG;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Weak sourcing: no CoO documentation, CAHRA without EDD, no MD 68/2024 policy, not on Good Delivery list, no mine-of-origin verification, recycled without facility documentation. Regulatory Basis: UAE NRA 2024; Ministerial Decree 68/2024; LBMA RGG v9; OECD DDG;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