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TBML: invoice deviation &gt;5% from LBMA fix, multiple invoices per shipment, phantom shipments, purity/weight misrepresentation, round-tripping, inconsistent trade finance, fake service invoices. Regulatory Basis: UAE FIU DPMS Report Typology 1; UAE FDL No.(10) of 2025 Art. 4; FATF TBML Report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