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HSV2-TPK-2026-04-06-UNASSIGNED-NRA-RF05_FIU_Typolog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NRA-RF05 | FIU Typology 2: Foreign Currency Exchange 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Forex ML: AED to USD/EUR via gold, gold as currency conversion, repeated buy/sell in different currencies, forex-aligned volumes, deviant exchange rates, exchange house settlements.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2; UAE FDL No.(10) of 2025 Art. 4, 15; Cabinet Resolution 134/2025 Art. 4,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NRA-RF05 | FIU Typology 2: Foreign Currency Exchange ML - ENTITY: MADISON LLC Forex ML: AED to USD/EUR via gold, gold as currency conversion, repeated buy/sell in different currencies, forex-aligned volumes, deviant exchange rates, exchange house settlements. Regulatory Basis: UAE FIU DPMS Report Typology 2; UAE FDL No.(10) of 2025 Art. 4, 15; Cabinet Resolution 134/2025 Art. 4,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