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HSV2-TPK-2026-04-06-UNASSIGNED-NRA-RF06_FIU_Typolog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NRA-RF06 | FIU Typology 3: Gold/Cash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Smuggling: no customs declarations, undervalued declarations, hand-carried airport gold, conflict zone origin, cash couriers, non-standard logistics, smuggling corridor jurisdictions.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3; UAE NRA 2024; UAE FDL No.(10) of 2025 Art. 4-6; FATF Rec. 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NRA-RF06 | FIU Typology 3: Gold/Cash Smuggling - ENTITY: MADISON LLC Smuggling: no customs declarations, undervalued declarations, hand-carried airport gold, conflict zone origin, cash couriers, non-standard logistics, smuggling corridor jurisdictions. Regulatory Basis: UAE FIU DPMS Report Typology 3; UAE NRA 2024; UAE FDL No.(10) of 2025 Art. 4-6; FATF Rec. 32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