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HSV2-TPK-2026-04-06-UNASSIGNED-NRA-RF08_NRA_DPMSR_T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NRA-RF08 | NRA: DPMSR Threshold Structuring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Structuring: multiple sub-AED 55,000 transactions, split purchases across days, multiple purchasers for undisclosed principal, threshold inquiries, amount changes post-DPMSR notification, recurring AED 54,000-54,999.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MOE Circular 08/2021;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NRA-RF08 | NRA: DPMSR Threshold Structuring - ENTITY: MADISON LLC Structuring: multiple sub-AED 55,000 transactions, split purchases across days, multiple purchasers for undisclosed principal, threshold inquiries, amount changes post-DPMSR notification, recurring AED 54,000-54,999. Regulatory Basis: UAE FDL No.(10) of 2025 Art. 15; MOE Circular 08/2021; Cabinet Resolution 134/2025 Art. 17; FATF Rec.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