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HSV2-TPK-2026-04-06-UNASSIGNED-NRA-RF08_NRA_DPMSR_T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NRA-RF08 | NRA: DPMSR Threshold Structuring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Structuring: multiple sub-AED 55,000 transactions, split purchases across days, multiple purchasers for undisclosed principal, threshold inquiries, amount changes post-DPMSR notification, recurring AED 54,000-54,999.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MOE Circular 08/2021;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LLCStructuring: multiple sub-AED 55,000 transactions, split purchases across days, multiple purchasers for undisclosed principal, threshold inquiries, amount changes post-DPMSR notification, recurring AED 54,000-54,999.Regulatory Basis: UAE FDL No.(10) of 2025 Art. 15; MOE Circular 08/2021; Cabinet Resolution 134/2025 Art. 17; FATF Rec. 20Priority: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