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HSV2-TPK-2026-04-06-UNASSIGNED-NRA-RF08_NRA_DPMSR_T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NRA-RF08 | NRA: DPMSR Threshold Structuring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Structuring: multiple sub-AED 55,000 transactions, split purchases across days, multiple purchasers for undisclosed principal, threshold inquiries, amount changes post-DPMSR notification, recurring AED 54,000-54,999.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MOE Circular 08/2021;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NRA-RF08 | NRA: DPMSR Threshold Structuring - ENTITY: FG LLC Structuring: multiple sub-AED 55,000 transactions, split purchases across days, multiple purchasers for undisclosed principal, threshold inquiries, amount changes post-DPMSR notification, recurring AED 54,000-54,999. Regulatory Basis: UAE FDL No.(10) of 2025 Art. 15; MOE Circular 08/2021; Cabinet Resolution 134/2025 Art. 17; FATF Rec. 20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