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HSV2-TPK-2026-04-06-UNASSIGNED-NRA-RF08_NRA_DPMSR_T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1213962484464527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NRA-RF08 | NRA: DPMSR Threshold Structuring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https://app.asana.com/1/1213645083721316/project/1213908828069020/task/1213962484464527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Structuring: multiple sub-AED 55,000 transactions, split purchases across days, multiple purchasers for undisclosed principal, threshold inquiries, amount changes post-DPMSR notification, recurring AED 54,000-54,999.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MOE Circular 08/2021;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NRA-RF08 | NRA: DPMSR Threshold Structuring - ENTITY: ZOE FZE Structuring: multiple sub-AED 55,000 transactions, split purchases across days, multiple purchasers for undisclosed principal, threshold inquiries, amount changes post-DPMSR notification, recurring AED 54,000-54,999. Regulatory Basis: UAE FDL No.(10) of 2025 Art. 15; MOE Circular 08/2021; Cabinet Resolution 134/2025 Art. 17; FATF Rec. 20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