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BRANCHStructuring: multiple sub-AED 55,000 transactions, split purchases across days, multiple purchasers for undisclosed principal, threshold inquiries, amount changes post-DPMSR notification, recurring AED 54,000-54,999.Regulatory Basis: UAE FDL No.(10) of 2025 Art. 15; MOE Circular 08/2021; Cabinet Resolution 134/2025 Art. 17; FATF Rec.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