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HSV2-TPK-2026-04-06-UNASSIGNED-NRA-RF08_NRA_DPMSR_T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NRA-RF08 | NRA: DPMSR Threshold Structuring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Structuring: multiple sub-AED 55,000 transactions, split purchases across days, multiple purchasers for undisclosed principal, threshold inquiries, amount changes post-DPMSR notification, recurring AED 54,000-54,999.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MOE Circular 08/2021;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Structuring: multiple sub-AED 55,000 transactions, split purchases across days, multiple purchasers for undisclosed principal, threshold inquiries, amount changes post-DPMSR notification, recurring AED 54,000-54,999. Regulatory Basis: UAE FDL No.(10) of 2025 Art. 15; MOE Circular 08/2021; Cabinet Resolution 134/2025 Art. 17; FATF Rec. 20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