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HSV2-TPK-2026-04-06-UNASSIGNED-NRA-RF10_NRA_Virtual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NRA-RF10 | NRA: Virtual Asset / Crypto-to-Gold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 convergence: crypto payment requests, recently converted VA funds, unlicensed VASP customers, mixing/tumbling in blockchain analysis, post-liquidation gold purchases, unregulated VASP jurisdictions.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4; VARA Regulations; FATF VA Guidance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NRA-RF10 | NRA: Virtual Asset / Crypto-to-Gold - ENTITY: MADISON LLC Crypto convergence: crypto payment requests, recently converted VA funds, unlicensed VASP customers, mixing/tumbling in blockchain analysis, post-liquidation gold purchases, unregulated VASP jurisdictions. Regulatory Basis: UAE NRA 2024; UAE FDL No.(10) of 2025 Art. 4; VARA Regulations; FATF VA Guidance (2021)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