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LLCCrypto convergence: crypto payment requests, recently converted VA funds, unlicensed VASP customers, mixing/tumbling in blockchain analysis, post-liquidation gold purchases, unregulated VASP jurisdictions.Regulatory Basis: UAE NRA 2024; UAE FDL No.(10) of 2025 Art. 4; VARA Regulations; FATF VA Guidance (2021)Priority: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