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HSV2-TPK-2026-04-06-UNASSIGNED-NRA-RF12_NRA_Prolife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NRA-RF12 | NRA: Proliferation Financing via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vehicle: DPRK/Iran-linked entities, WMD programme front companies, gold circumventing PF sanctions, PF-sanctioned jurisdiction counterparties, dual-use documentation, previously flagged PF entities.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7; FATF Rec. 7; Cabinet Resolution 74/2020;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NRA-RF12 | NRA: Proliferation Financing via DPMS - ENTITY: MADISON LLC PF vehicle: DPRK/Iran-linked entities, WMD programme front companies, gold circumventing PF sanctions, PF-sanctioned jurisdiction counterparties, dual-use documentation, previously flagged PF entities. Regulatory Basis: UAE NRA 2024; UAE FDL No.(10) of 2025 Art. 7; FATF Rec. 7; Cabinet Resolution 74/2020; UNSC Res. 1718, 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