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HSV2-TPK-2026-04-06-UNASSIGNED-NRA-RF12_NRA_Prolife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1213959825297464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NRA-RF12 | NRA: Proliferation Financing via DPMS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1213959825297464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https://app.asana.com/1/1213645083721316/project/1213908827982041/task/1213959825297464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vehicle: DPRK/Iran-linked entities, WMD programme front companies, gold circumventing PF sanctions, PF-sanctioned jurisdiction counterparties, dual-use documentation, previously flagged PF entities.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7; FATF Rec. 7; Cabinet Resolution 74/2020; UNSC Res. 1718, 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LLCPF vehicle: DPRK/Iran-linked entities, WMD programme front companies, gold circumventing PF sanctions, PF-sanctioned jurisdiction counterparties, dual-use documentation, previously flagged PF entities.Regulatory Basis: UAE NRA 2024; UAE FDL No.(10) of 2025 Art. 7; FATF Rec. 7; Cabinet Resolution 74/2020; UNSC Res. 1718, 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