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HSV2-TPK-2026-04-06-UNASSIGNED-NRA-RF12_NRA_Prolife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1213962483763623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NRA-RF12 | NRA: Proliferation Financing via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 vehicle: DPRK/Iran-linked entities, WMD programme front companies, gold circumventing PF sanctions, PF-sanctioned jurisdiction counterparties, dual-use documentation, previously flagged PF entities.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7; FATF Rec. 7; Cabinet Resolution 74/2020; UNSC Res. 1718, 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NRA-RF12 | NRA: Proliferation Financing via DPMS - ENTITY: FG LLC PF vehicle: DPRK/Iran-linked entities, WMD programme front companies, gold circumventing PF sanctions, PF-sanctioned jurisdiction counterparties, dual-use documentation, previously flagged PF entities. Regulatory Basis: UAE NRA 2024; UAE FDL No.(10) of 2025 Art. 7; FATF Rec. 7; Cabinet Resolution 74/2020; UNSC Res. 1718, 2231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