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HSV2-TPK-2026-04-06-UNASSIGNED-NRA-RF12_NRA_Prolife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NRA-RF12 | NRA: Proliferation Financing via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vehicle: DPRK/Iran-linked entities, WMD programme front companies, gold circumventing PF sanctions, PF-sanctioned jurisdiction counterparties, dual-use documentation, previously flagged PF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7; FATF Rec. 7; Cabinet Resolution 74/2020;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BRANCHPF vehicle: DPRK/Iran-linked entities, WMD programme front companies, gold circumventing PF sanctions, PF-sanctioned jurisdiction counterparties, dual-use documentation, previously flagged PF entities.Regulatory Basis: UAE NRA 2024; UAE FDL No.(10) of 2025 Art. 7; FATF Rec. 7; Cabinet Resolution 74/2020;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