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HSV2-TPK-2026-04-06-UNASSIGNED-NRA-RF12_NRA_Prolife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NRA-RF12 | NRA: Proliferation Financing via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 vehicle: DPRK/Iran-linked entities, WMD programme front companies, gold circumventing PF sanctions, PF-sanctioned jurisdiction counterparties, dual-use documentation, previously flagged PF entities.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7; FATF Rec. 7; Cabinet Resolution 74/2020; UNSC Res. 1718, 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PF vehicle: DPRK/Iran-linked entities, WMD programme front companies, gold circumventing PF sanctions, PF-sanctioned jurisdiction counterparties, dual-use documentation, previously flagged PF entities. Regulatory Basis: UAE NRA 2024; UAE FDL No.(10) of 2025 Art. 7; FATF Rec. 7; Cabinet Resolution 74/2020; UNSC Res. 1718, 2231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