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HSV2-TPK-2026-04-06-UNASSIGNED-POL-01_Compliance_Ma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POL-01 | Compliance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alignment with FDL No.(10), Cabinet Resolutions, FATF, FIU guidance, LBMA RGG. Document all changes with regulatory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Annual review for alignment with FDL No.(10), Cabinet Resolutions, FATF, FIU guidance, LBMA RGG. Document all changes with regulatory rationale.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