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HSV2-TPK-2026-04-06-UNASSIGNED-POL-01_Compliance_Ma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POL-01 | Compliance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alignment with FDL No.(10), Cabinet Resolutions, FATF, FIU guidance, LBMA RGG. Document all changes with regulatory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POL-01 | Compliance Manual Annual Review - ENTITY: GRAMALTIN AS Annual review for alignment with FDL No.(10), Cabinet Resolutions, FATF, FIU guidance, LBMA RGG. Document all changes with regulatory rationale.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