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HSV2-TPK-2026-04-06-UNASSIGNED-POL-03_Regulatory_Ch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POL-03 | Regulatory Change Impact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Monitoring sources (MOE, FIU, FATF, LBMA, CBUAE), impact classification, implementation timeline, policy amendment, staff communication, training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Monitoring sources (MOE, FIU, FATF, LBMA, CBUAE), impact classification, implementation timeline, policy amendment, staff communication, training trigger. Regulatory Basis: UAE FDL No.(10) of 2025 Art. 20; Cabinet Resolution 134/2025 Art. 58;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