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HSV2-TPK-2026-04-06-UNASSIGNED-POL-03_Regulatory_Ch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POL-03 | Regulatory Change Impact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Monitoring sources (MOE, FIU, FATF, LBMA, CBUAE), impact classification, implementation timeline, policy amendment, staff communication, training trigger.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POL-03 | Regulatory Change Impact Assessment Procedure - ENTITY: ZOE FZE Monitoring sources (MOE, FIU, FATF, LBMA, CBUAE), impact classification, implementation timeline, policy amendment, staff communication, training trigger. Regulatory Basis: UAE FDL No.(10) of 2025 Art. 20; Cabinet Resolution 134/2025 Art. 58;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