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POL-03 | Regulatory Change Impact Assessment Procedure - ENTITY: MADISON LLC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