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1213964639470772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HSV2-TPK-2026-04-06-UNASSIGNED-POL-03_Regulatory_Ch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1213964639470772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POL-03 | Regulatory Change Impact Assessment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1213964639470772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https://app.asana.com/1/1213645083721316/project/1213908827982041/task/1213964639470772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Monitoring sources (MOE, FIU, FATF, LBMA, CBUAE), impact classification, implementation timeline, policy amendment, staff communication, training trigger.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POL-03 | Regulatory Change Impact Assessment Procedure - ENTITY: NAPLES LLC Monitoring sources (MOE, FIU, FATF, LBMA, CBUAE), impact classification, implementation timeline, policy amendment, staff communication, training trigger. Regulatory Basis: UAE FDL No.(10) of 2025 Art. 20; Cabinet Resolution 134/2025 Art. 58; FATF Rec. 1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