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HSV2-TPK-2026-04-06-UNASSIGNED-POL-03_Regulatory_Ch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POL-03 | Regulatory Change Impact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Monitoring sources (MOE, FIU, FATF, LBMA, CBUAE), impact classification, implementation timeline, policy amendment, staff communication, training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POL-03 | Regulatory Change Impact Assessment Procedure - ENTITY: GRAMALTIN AS Monitoring sources (MOE, FIU, FATF, LBMA, CBUAE), impact classification, implementation timeline, policy amendment, staff communication, training trigger. Regulatory Basis: UAE FDL No.(10) of 2025 Art. 20; Cabinet Resolution 134/2025 Art. 58;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