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HSV2-TPK-2026-04-06-UNASSIGNED-POL-04_RACI_Matrix_f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POL-04 | RACI Matrix for Compliance Functions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RACI for all compliance functions: CDD, TM, screening, reporting, training, risk assessment, audit, governance. No accountability gaps.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RACI for all compliance functions: CDD, TM, screening, reporting, training, risk assessment, audit, governance. No accountability gaps. Regulatory Basis: UAE FDL No.(10) of 2025 Art. 20-21; Cabinet Resolution 134/2025 Art. 57-58;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