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1213964639258706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HSV2-TPK-2026-04-06-UNASSIGNED-POL-04_RACI_Matrix_f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1213964639258706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POL-04 | RACI Matrix for Compliance Functions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1213964639258706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https://app.asana.com/1/1213645083721316/project/1213908611350810/task/1213964639258706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RACI for all compliance functions: CDD, TM, screening, reporting, training, risk assessment, audit, governance. No accountability gaps.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20-21; Cabinet Resolution 134/2025 Art. 57-58;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POLICY AND PROCEDURE GOVERNANCE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POL-04 | RACI Matrix for Compliance Functions - ENTITY: MADISON LLC RACI for all compliance functions: CDD, TM, screening, reporting, training, risk assessment, audit, governance. No accountability gaps. Regulatory Basis: UAE FDL No.(10) of 2025 Art. 20-21; Cabinet Resolution 134/2025 Art. 57-58; FATF Rec. 18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