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HSV2-TPK-2026-04-06-UNASSIGNED-POL-04_RACI_Matrix_f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1213964639470771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POL-04 | RACI Matrix for Compliance Functions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https://app.asana.com/1/1213645083721316/project/1213908827982041/task/1213964639470771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RACI for all compliance functions: CDD, TM, screening, reporting, training, risk assessment, audit, governance. No accountability gaps.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57-58;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POL-04 | RACI Matrix for Compliance Functions - ENTITY: NAPLES LLC RACI for all compliance functions: CDD, TM, screening, reporting, training, risk assessment, audit, governance. No accountability gaps. Regulatory Basis: UAE FDL No.(10) of 2025 Art. 20-21; Cabinet Resolution 134/2025 Art. 57-58;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