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1213965323410108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HSV2-TPK-2026-04-06-UNASSIGNED-POL-04_RACI_Matrix_f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1213965323410108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POL-04 | RACI Matrix for Compliance Functions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1213965323410108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https://app.asana.com/1/1213645083721316/project/1213908611400789/task/1213965323410108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RACI for all compliance functions: CDD, TM, screening, reporting, training, risk assessment, audit, governance. No accountability gaps.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POL-04 | RACI Matrix for Compliance Functions - ENTITY: GRAMALTIN AS RACI for all compliance functions: CDD, TM, screening, reporting, training, risk assessment, audit, governance. No accountability gaps. Regulatory Basis: UAE FDL No.(10) of 2025 Art. 20-21; Cabinet Resolution 134/2025 Art. 57-58;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