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HSV2-TPK-2026-04-06-UNASSIGNED-RA-01_Enterprise-Wid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EWRA methodology: risk categories, inherent risk, control effectiveness, residual risk, risk appetite, heat map. Annual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RA-01 | Enterprise-Wide Risk Assessment (EWRA) Methodology - ENTITY: GRAMALTIN ASEWRA methodology: risk categories, inherent risk, control effectiveness, residual risk, risk appetite, heat map. Annual update.Regulatory Basis: UAE FDL No.(10) of 2025 Art. 20; Cabinet Resolution 134/2025 Art. 4-5;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