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1213954968705587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HSV2-TPK-2026-04-06-UNASSIGNED-RA-02_Business-Wide_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1213954968705587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RA-02 | Business-Wide Risk Assessment (BWRA) Execution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1213954968705587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https://app.asana.com/1/1213645083721316/project/1213909833048586/task/1213954968705587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BWRA covering all business lines aligned with UAE NRA 2024: risk scenarios, likelihood/impact scoring, control mapping, gap identification.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UAE NRA 2024;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RA-02 | Business-Wide Risk Assessment (BWRA) Execution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LLCBWRA covering all business lines aligned with UAE NRA 2024: risk scenarios, likelihood/impact scoring, control mapping, gap identification.Regulatory Basis: UAE FDL No.(10) of 2025 Art. 20; Cabinet Resolution 134/2025 Art. 4-5; UAE NRA 2024; FATF Rec. 1Priority: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