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1213954969046481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HSV2-TPK-2026-04-06-UNASSIGNED-RA-02_Business-Wide_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1213954969046481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RA-02 | Business-Wide Risk Assessment (BWRA) Execution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1213954969046481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https://app.asana.com/1/1213645083721316/project/1213908611350810/task/1213954969046481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BWRA covering all business lines aligned with UAE NRA 2024: risk scenarios, likelihood/impact scoring, control mapping, gap identification.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4-5; UAE NRA 2024; FATF Rec. 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RA-02 | Business-Wide Risk Assessment (BWRA) Execution | RISK ASSESSMENT | ENTITY: MADISON LLCBWRA covering all business lines aligned with UAE NRA 2024: risk scenarios, likelihood/impact scoring, control mapping, gap identification.Regulatory Basis: UAE FDL No.(10) of 2025 Art. 20; Cabinet Resolution 134/2025 Art. 4-5; UAE NRA 2024; FATF Rec. 1Priority: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