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HSV2-TPK-2026-04-06-UNASSIGNED-RA-02_Business-Wide_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RA-02 | Business-Wide Risk Assessment (BWRA) Execution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BWRA covering all business lines aligned with UAE NRA 2024: risk scenarios, likelihood/impact scoring, control mapping, gap identification.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UAE NRA 2024; FATF Rec. 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RA-02 | Business-Wide Risk Assessment (BWRA) Execution - ENTITY: GRAMALTIN ASBWRA covering all business lines aligned with UAE NRA 2024: risk scenarios, likelihood/impact scoring, control mapping, gap identification.Regulatory Basis: UAE FDL No.(10) of 2025 Art. 20; Cabinet Resolution 134/2025 Art. 4-5; UAE NRA 2024;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