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HSV2-TPK-2026-04-06-UNASSIGNED-RA-02_Business-Wide_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RA-02 | Business-Wide Risk Assessment (BWRA) Execution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BWRA covering all business lines aligned with UAE NRA 2024: risk scenarios, likelihood/impact scoring, control mapping, gap identification.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UAE NRA 2024;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RA-02 | Business-Wide Risk Assessment (BWRA) Execution - ENTITY: NAPLES LLCBWRA covering all business lines aligned with UAE NRA 2024: risk scenarios, likelihood/impact scoring, control mapping, gap identification.Regulatory Basis: UAE FDL No.(10) of 2025 Art. 20; Cabinet Resolution 134/2025 Art. 4-5; UAE NRA 2024;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