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HSV2-TPK-2026-04-06-UNASSIGNED-RA-02_Business-Wide_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BWRA covering all business lines aligned with UAE NRA 2024: risk scenarios, likelihood/impact scoring, control mapping, gap identification.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UAE NRA 2024;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RA-02 | Business-Wide Risk Assessment (BWRA) Execution - ENTITY: FG BRANCHBWRA covering all business lines aligned with UAE NRA 2024: risk scenarios, likelihood/impact scoring, control mapping, gap identification.Regulatory Basis: UAE FDL No.(10) of 2025 Art. 20; Cabinet Resolution 134/2025 Art. 4-5; UAE NRA 2024;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