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HSV2-TPK-2026-04-06-UNASSIGNED-RA-02_Business-Wide_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1213964639470815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RA-02 | Business-Wide Risk Assessment (BWRA) Execution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https://app.asana.com/1/1213645083721316/project/1213908828069020/task/1213964639470815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BWRA covering all business lines aligned with UAE NRA 2024: risk scenarios, likelihood/impact scoring, control mapping, gap identification.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UAE NRA 2024;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RISK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RA-02 | Business-Wide Risk Assessment (BWRA) Execution - ENTITY: ZOE FZEBWRA covering all business lines aligned with UAE NRA 2024: risk scenarios, likelihood/impact scoring, control mapping, gap identification.Regulatory Basis: UAE FDL No.(10) of 2025 Art. 20; Cabinet Resolution 134/2025 Art. 4-5; UAE NRA 2024; FATF Rec. 1Priority: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